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36)成立于2021年12月22日,到期日为2023年2月2日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209,622,625.35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17AD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01A2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360F5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6BE379F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2022-03-04T12:29:34Z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